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BC6" w:rsidRPr="001970F5" w:rsidRDefault="006D27C0" w:rsidP="001970F5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sz w:val="24"/>
          <w:szCs w:val="22"/>
          <w:lang w:val="en-GB"/>
        </w:rPr>
      </w:pPr>
      <w:r w:rsidRPr="001970F5">
        <w:rPr>
          <w:rFonts w:ascii="Times New Roman" w:hAnsi="Times New Roman" w:cs="Times New Roman"/>
          <w:b/>
          <w:sz w:val="24"/>
          <w:szCs w:val="22"/>
          <w:lang w:val="en-GB"/>
        </w:rPr>
        <w:t>“</w:t>
      </w:r>
      <w:r w:rsidR="008361A7">
        <w:rPr>
          <w:rFonts w:ascii="Times New Roman" w:hAnsi="Times New Roman" w:cs="Times New Roman"/>
          <w:b/>
          <w:sz w:val="24"/>
          <w:szCs w:val="22"/>
          <w:lang w:val="en-GB"/>
        </w:rPr>
        <w:t xml:space="preserve">Monitoring of schedule H drugs </w:t>
      </w:r>
      <w:r w:rsidR="00890E5F">
        <w:rPr>
          <w:rFonts w:ascii="Times New Roman" w:hAnsi="Times New Roman" w:cs="Times New Roman"/>
          <w:b/>
          <w:sz w:val="24"/>
          <w:szCs w:val="22"/>
          <w:lang w:val="en-GB"/>
        </w:rPr>
        <w:t xml:space="preserve">under NTEP </w:t>
      </w:r>
      <w:r w:rsidR="002D11BF" w:rsidRPr="001970F5">
        <w:rPr>
          <w:rFonts w:ascii="Times New Roman" w:hAnsi="Times New Roman" w:cs="Times New Roman"/>
          <w:b/>
          <w:sz w:val="24"/>
          <w:szCs w:val="22"/>
          <w:lang w:val="en-GB"/>
        </w:rPr>
        <w:t>–</w:t>
      </w:r>
      <w:r w:rsidR="00A10BEE" w:rsidRPr="001970F5">
        <w:rPr>
          <w:rFonts w:ascii="Times New Roman" w:hAnsi="Times New Roman" w:cs="Times New Roman"/>
          <w:b/>
          <w:sz w:val="24"/>
          <w:szCs w:val="22"/>
          <w:lang w:val="en-GB"/>
        </w:rPr>
        <w:t xml:space="preserve"> </w:t>
      </w:r>
      <w:r w:rsidRPr="001970F5">
        <w:rPr>
          <w:rFonts w:ascii="Times New Roman" w:hAnsi="Times New Roman" w:cs="Times New Roman"/>
          <w:b/>
          <w:sz w:val="24"/>
          <w:szCs w:val="22"/>
          <w:lang w:val="en-GB"/>
        </w:rPr>
        <w:t xml:space="preserve">strategy </w:t>
      </w:r>
      <w:r w:rsidR="008361A7">
        <w:rPr>
          <w:rFonts w:ascii="Times New Roman" w:hAnsi="Times New Roman" w:cs="Times New Roman"/>
          <w:b/>
          <w:sz w:val="24"/>
          <w:szCs w:val="22"/>
          <w:lang w:val="en-GB"/>
        </w:rPr>
        <w:t xml:space="preserve">to improve the under reporting </w:t>
      </w:r>
      <w:proofErr w:type="gramStart"/>
      <w:r w:rsidR="008361A7">
        <w:rPr>
          <w:rFonts w:ascii="Times New Roman" w:hAnsi="Times New Roman" w:cs="Times New Roman"/>
          <w:b/>
          <w:sz w:val="24"/>
          <w:szCs w:val="22"/>
          <w:lang w:val="en-GB"/>
        </w:rPr>
        <w:t>of  tuberculosis</w:t>
      </w:r>
      <w:proofErr w:type="gramEnd"/>
      <w:r w:rsidR="008361A7">
        <w:rPr>
          <w:rFonts w:ascii="Times New Roman" w:hAnsi="Times New Roman" w:cs="Times New Roman"/>
          <w:b/>
          <w:sz w:val="24"/>
          <w:szCs w:val="22"/>
          <w:lang w:val="en-GB"/>
        </w:rPr>
        <w:t xml:space="preserve"> patients in</w:t>
      </w:r>
      <w:r w:rsidRPr="001970F5">
        <w:rPr>
          <w:rFonts w:ascii="Times New Roman" w:hAnsi="Times New Roman" w:cs="Times New Roman"/>
          <w:b/>
          <w:sz w:val="24"/>
          <w:szCs w:val="22"/>
          <w:lang w:val="en-GB"/>
        </w:rPr>
        <w:t xml:space="preserve"> Himachal Pradesh </w:t>
      </w:r>
    </w:p>
    <w:p w:rsidR="005E769C" w:rsidRDefault="00BB5BC6" w:rsidP="001970F5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Cs/>
          <w:sz w:val="24"/>
          <w:szCs w:val="22"/>
        </w:rPr>
      </w:pPr>
      <w:r w:rsidRPr="001970F5">
        <w:rPr>
          <w:rFonts w:ascii="Times New Roman" w:hAnsi="Times New Roman" w:cs="Times New Roman"/>
          <w:b/>
          <w:sz w:val="24"/>
          <w:szCs w:val="22"/>
          <w:lang w:val="en-GB"/>
        </w:rPr>
        <w:t>Background</w:t>
      </w:r>
      <w:r w:rsidR="00A10BEE" w:rsidRPr="001970F5">
        <w:rPr>
          <w:rFonts w:ascii="Times New Roman" w:hAnsi="Times New Roman" w:cs="Times New Roman"/>
          <w:b/>
          <w:sz w:val="24"/>
          <w:szCs w:val="22"/>
          <w:lang w:val="en-GB"/>
        </w:rPr>
        <w:t xml:space="preserve">: </w:t>
      </w:r>
      <w:r w:rsidR="00890E5F">
        <w:rPr>
          <w:rFonts w:ascii="Times New Roman" w:hAnsi="Times New Roman" w:cs="Times New Roman"/>
          <w:sz w:val="24"/>
          <w:szCs w:val="22"/>
          <w:lang w:val="en-GB"/>
        </w:rPr>
        <w:t xml:space="preserve">Tuberculosis is an ancient </w:t>
      </w:r>
      <w:r w:rsidRPr="001970F5">
        <w:rPr>
          <w:rFonts w:ascii="Times New Roman" w:hAnsi="Times New Roman" w:cs="Times New Roman"/>
          <w:sz w:val="24"/>
          <w:szCs w:val="22"/>
          <w:lang w:val="en-GB"/>
        </w:rPr>
        <w:t xml:space="preserve">disease in India having highest mortality and morbidity </w:t>
      </w:r>
      <w:r w:rsidR="00043AFC" w:rsidRPr="001970F5">
        <w:rPr>
          <w:rFonts w:ascii="Times New Roman" w:hAnsi="Times New Roman" w:cs="Times New Roman"/>
          <w:sz w:val="24"/>
          <w:szCs w:val="22"/>
          <w:lang w:val="en-GB"/>
        </w:rPr>
        <w:t xml:space="preserve">among all infectious diseases. </w:t>
      </w:r>
      <w:r w:rsidR="00A10BEE" w:rsidRPr="001970F5">
        <w:rPr>
          <w:rFonts w:ascii="Times New Roman" w:hAnsi="Times New Roman" w:cs="Times New Roman"/>
          <w:sz w:val="24"/>
          <w:szCs w:val="22"/>
          <w:lang w:val="en-GB"/>
        </w:rPr>
        <w:t xml:space="preserve"> </w:t>
      </w:r>
      <w:r w:rsidR="002C4BC3" w:rsidRPr="001970F5">
        <w:rPr>
          <w:rFonts w:ascii="Times New Roman" w:hAnsi="Times New Roman" w:cs="Times New Roman"/>
          <w:bCs/>
          <w:sz w:val="24"/>
          <w:szCs w:val="22"/>
        </w:rPr>
        <w:t>Himachal Pradesh</w:t>
      </w:r>
      <w:r w:rsidR="00BA46BB" w:rsidRPr="001970F5">
        <w:rPr>
          <w:rFonts w:ascii="Times New Roman" w:hAnsi="Times New Roman" w:cs="Times New Roman"/>
          <w:bCs/>
          <w:sz w:val="24"/>
          <w:szCs w:val="22"/>
        </w:rPr>
        <w:t xml:space="preserve"> Government</w:t>
      </w:r>
      <w:r w:rsidR="002C4BC3" w:rsidRPr="001970F5">
        <w:rPr>
          <w:rFonts w:ascii="Times New Roman" w:hAnsi="Times New Roman" w:cs="Times New Roman"/>
          <w:bCs/>
          <w:sz w:val="24"/>
          <w:szCs w:val="22"/>
        </w:rPr>
        <w:t xml:space="preserve"> </w:t>
      </w:r>
      <w:r w:rsidR="00BA46BB" w:rsidRPr="001970F5">
        <w:rPr>
          <w:rFonts w:ascii="Times New Roman" w:hAnsi="Times New Roman" w:cs="Times New Roman"/>
          <w:bCs/>
          <w:sz w:val="24"/>
          <w:szCs w:val="22"/>
        </w:rPr>
        <w:t>has set an ambitious goal to meeting the t</w:t>
      </w:r>
      <w:r w:rsidR="00AF7CDE">
        <w:rPr>
          <w:rFonts w:ascii="Times New Roman" w:hAnsi="Times New Roman" w:cs="Times New Roman"/>
          <w:bCs/>
          <w:sz w:val="24"/>
          <w:szCs w:val="22"/>
        </w:rPr>
        <w:t xml:space="preserve">argets of elimination of tuberculosis ahead of national target of 2025 </w:t>
      </w:r>
      <w:r w:rsidR="006F23D9">
        <w:rPr>
          <w:rFonts w:ascii="Times New Roman" w:hAnsi="Times New Roman" w:cs="Times New Roman"/>
          <w:bCs/>
          <w:sz w:val="24"/>
          <w:szCs w:val="22"/>
        </w:rPr>
        <w:t xml:space="preserve">and </w:t>
      </w:r>
      <w:r w:rsidR="00BA46BB" w:rsidRPr="001970F5">
        <w:rPr>
          <w:rFonts w:ascii="Times New Roman" w:hAnsi="Times New Roman" w:cs="Times New Roman"/>
          <w:bCs/>
          <w:sz w:val="24"/>
          <w:szCs w:val="22"/>
        </w:rPr>
        <w:t>State came out with its own strategies and launched a new</w:t>
      </w:r>
      <w:r w:rsidR="002C4BC3" w:rsidRPr="001970F5">
        <w:rPr>
          <w:rFonts w:ascii="Times New Roman" w:hAnsi="Times New Roman" w:cs="Times New Roman"/>
          <w:bCs/>
          <w:sz w:val="24"/>
          <w:szCs w:val="22"/>
        </w:rPr>
        <w:t xml:space="preserve"> scheme “Mukhya Mantri Kshay Rog Nivarna Yojna”</w:t>
      </w:r>
      <w:r w:rsidR="00BA46BB" w:rsidRPr="001970F5">
        <w:rPr>
          <w:rFonts w:ascii="Times New Roman" w:hAnsi="Times New Roman" w:cs="Times New Roman"/>
          <w:bCs/>
          <w:sz w:val="24"/>
          <w:szCs w:val="22"/>
        </w:rPr>
        <w:t xml:space="preserve"> </w:t>
      </w:r>
      <w:r w:rsidR="002C4BC3" w:rsidRPr="001970F5">
        <w:rPr>
          <w:rFonts w:ascii="Times New Roman" w:hAnsi="Times New Roman" w:cs="Times New Roman"/>
          <w:bCs/>
          <w:sz w:val="24"/>
          <w:szCs w:val="22"/>
        </w:rPr>
        <w:t>(MMK</w:t>
      </w:r>
      <w:r w:rsidR="00BA46BB" w:rsidRPr="001970F5">
        <w:rPr>
          <w:rFonts w:ascii="Times New Roman" w:hAnsi="Times New Roman" w:cs="Times New Roman"/>
          <w:bCs/>
          <w:sz w:val="24"/>
          <w:szCs w:val="22"/>
        </w:rPr>
        <w:t>RNY)</w:t>
      </w:r>
      <w:r w:rsidR="001970F5" w:rsidRPr="001970F5">
        <w:rPr>
          <w:rFonts w:ascii="Times New Roman" w:hAnsi="Times New Roman" w:cs="Times New Roman"/>
          <w:bCs/>
          <w:sz w:val="24"/>
          <w:szCs w:val="22"/>
        </w:rPr>
        <w:t xml:space="preserve"> </w:t>
      </w:r>
      <w:r w:rsidR="00BA46BB" w:rsidRPr="001970F5">
        <w:rPr>
          <w:rFonts w:ascii="Times New Roman" w:hAnsi="Times New Roman" w:cs="Times New Roman"/>
          <w:bCs/>
          <w:sz w:val="24"/>
          <w:szCs w:val="22"/>
        </w:rPr>
        <w:t>with a major focus to fill the gap in the infrastructure, knowledge gap amo</w:t>
      </w:r>
      <w:r w:rsidR="006D27C0" w:rsidRPr="001970F5">
        <w:rPr>
          <w:rFonts w:ascii="Times New Roman" w:hAnsi="Times New Roman" w:cs="Times New Roman"/>
          <w:bCs/>
          <w:sz w:val="24"/>
          <w:szCs w:val="22"/>
        </w:rPr>
        <w:t xml:space="preserve">ng general population about TB and </w:t>
      </w:r>
      <w:r w:rsidR="00BA46BB" w:rsidRPr="001970F5">
        <w:rPr>
          <w:rFonts w:ascii="Times New Roman" w:hAnsi="Times New Roman" w:cs="Times New Roman"/>
          <w:bCs/>
          <w:sz w:val="24"/>
          <w:szCs w:val="22"/>
        </w:rPr>
        <w:t>systematic screening of population</w:t>
      </w:r>
      <w:r w:rsidR="00636CD6">
        <w:rPr>
          <w:rFonts w:ascii="Times New Roman" w:hAnsi="Times New Roman" w:cs="Times New Roman"/>
          <w:bCs/>
          <w:sz w:val="24"/>
          <w:szCs w:val="22"/>
        </w:rPr>
        <w:t>. S</w:t>
      </w:r>
      <w:r w:rsidR="002E50F7">
        <w:rPr>
          <w:rFonts w:ascii="Times New Roman" w:hAnsi="Times New Roman" w:cs="Times New Roman"/>
          <w:bCs/>
          <w:sz w:val="24"/>
          <w:szCs w:val="22"/>
        </w:rPr>
        <w:t>chedule H</w:t>
      </w:r>
      <w:r w:rsidR="00636CD6">
        <w:rPr>
          <w:rFonts w:ascii="Times New Roman" w:hAnsi="Times New Roman" w:cs="Times New Roman"/>
          <w:bCs/>
          <w:sz w:val="24"/>
          <w:szCs w:val="22"/>
        </w:rPr>
        <w:t xml:space="preserve"> is</w:t>
      </w:r>
      <w:r w:rsidR="002E50F7">
        <w:rPr>
          <w:rFonts w:ascii="Times New Roman" w:hAnsi="Times New Roman" w:cs="Times New Roman"/>
          <w:bCs/>
          <w:sz w:val="24"/>
          <w:szCs w:val="22"/>
        </w:rPr>
        <w:t xml:space="preserve"> </w:t>
      </w:r>
      <w:r w:rsidR="00636CD6">
        <w:rPr>
          <w:rFonts w:ascii="Times New Roman" w:hAnsi="Times New Roman" w:cs="Times New Roman"/>
          <w:bCs/>
          <w:sz w:val="24"/>
          <w:szCs w:val="22"/>
        </w:rPr>
        <w:t xml:space="preserve">a class of </w:t>
      </w:r>
      <w:r w:rsidR="00AF7CDE">
        <w:rPr>
          <w:rFonts w:ascii="Times New Roman" w:hAnsi="Times New Roman" w:cs="Times New Roman"/>
          <w:bCs/>
          <w:sz w:val="24"/>
          <w:szCs w:val="22"/>
        </w:rPr>
        <w:t xml:space="preserve">prescription of drugs in India </w:t>
      </w:r>
      <w:r w:rsidR="005027FD">
        <w:rPr>
          <w:rFonts w:ascii="Times New Roman" w:hAnsi="Times New Roman" w:cs="Times New Roman"/>
          <w:bCs/>
          <w:sz w:val="24"/>
          <w:szCs w:val="22"/>
        </w:rPr>
        <w:t xml:space="preserve">appearing as </w:t>
      </w:r>
      <w:r w:rsidR="00636CD6">
        <w:rPr>
          <w:rFonts w:ascii="Times New Roman" w:hAnsi="Times New Roman" w:cs="Times New Roman"/>
          <w:bCs/>
          <w:sz w:val="24"/>
          <w:szCs w:val="22"/>
        </w:rPr>
        <w:t>an appen</w:t>
      </w:r>
      <w:r w:rsidR="00E03D99">
        <w:rPr>
          <w:rFonts w:ascii="Times New Roman" w:hAnsi="Times New Roman" w:cs="Times New Roman"/>
          <w:bCs/>
          <w:sz w:val="24"/>
          <w:szCs w:val="22"/>
        </w:rPr>
        <w:t xml:space="preserve">dix to drugs and cosmetic rules 1945 and </w:t>
      </w:r>
      <w:r w:rsidR="00636CD6">
        <w:rPr>
          <w:rFonts w:ascii="Times New Roman" w:hAnsi="Times New Roman" w:cs="Times New Roman"/>
          <w:bCs/>
          <w:sz w:val="24"/>
          <w:szCs w:val="22"/>
        </w:rPr>
        <w:t xml:space="preserve">drugs in Schedule H </w:t>
      </w:r>
      <w:proofErr w:type="spellStart"/>
      <w:r w:rsidR="00636CD6">
        <w:rPr>
          <w:rFonts w:ascii="Times New Roman" w:hAnsi="Times New Roman" w:cs="Times New Roman"/>
          <w:bCs/>
          <w:sz w:val="24"/>
          <w:szCs w:val="22"/>
        </w:rPr>
        <w:t xml:space="preserve">can </w:t>
      </w:r>
      <w:r w:rsidR="005E769C">
        <w:rPr>
          <w:rFonts w:ascii="Times New Roman" w:hAnsi="Times New Roman" w:cs="Times New Roman"/>
          <w:bCs/>
          <w:sz w:val="24"/>
          <w:szCs w:val="22"/>
        </w:rPr>
        <w:t>not</w:t>
      </w:r>
      <w:proofErr w:type="spellEnd"/>
      <w:r w:rsidR="005E769C">
        <w:rPr>
          <w:rFonts w:ascii="Times New Roman" w:hAnsi="Times New Roman" w:cs="Times New Roman"/>
          <w:bCs/>
          <w:sz w:val="24"/>
          <w:szCs w:val="22"/>
        </w:rPr>
        <w:t xml:space="preserve"> be sold</w:t>
      </w:r>
      <w:r w:rsidR="002E50F7">
        <w:rPr>
          <w:rFonts w:ascii="Times New Roman" w:hAnsi="Times New Roman" w:cs="Times New Roman"/>
          <w:bCs/>
          <w:sz w:val="24"/>
          <w:szCs w:val="22"/>
        </w:rPr>
        <w:t xml:space="preserve"> over the count</w:t>
      </w:r>
      <w:r w:rsidR="00E03D99">
        <w:rPr>
          <w:rFonts w:ascii="Times New Roman" w:hAnsi="Times New Roman" w:cs="Times New Roman"/>
          <w:bCs/>
          <w:sz w:val="24"/>
          <w:szCs w:val="22"/>
        </w:rPr>
        <w:t xml:space="preserve">er without the prescription of </w:t>
      </w:r>
      <w:r w:rsidR="002E50F7">
        <w:rPr>
          <w:rFonts w:ascii="Times New Roman" w:hAnsi="Times New Roman" w:cs="Times New Roman"/>
          <w:bCs/>
          <w:sz w:val="24"/>
          <w:szCs w:val="22"/>
        </w:rPr>
        <w:t>qualified doctor</w:t>
      </w:r>
      <w:r w:rsidR="00636CD6">
        <w:rPr>
          <w:rFonts w:ascii="Times New Roman" w:hAnsi="Times New Roman" w:cs="Times New Roman"/>
          <w:bCs/>
          <w:sz w:val="24"/>
          <w:szCs w:val="22"/>
        </w:rPr>
        <w:t>. All anti TB drugs are i</w:t>
      </w:r>
      <w:r w:rsidR="00AF7CDE">
        <w:rPr>
          <w:rFonts w:ascii="Times New Roman" w:hAnsi="Times New Roman" w:cs="Times New Roman"/>
          <w:bCs/>
          <w:sz w:val="24"/>
          <w:szCs w:val="22"/>
        </w:rPr>
        <w:t xml:space="preserve">ncluded   under the Schedule H </w:t>
      </w:r>
      <w:r w:rsidR="005E769C">
        <w:rPr>
          <w:rFonts w:ascii="Times New Roman" w:hAnsi="Times New Roman" w:cs="Times New Roman"/>
          <w:bCs/>
          <w:sz w:val="24"/>
          <w:szCs w:val="22"/>
        </w:rPr>
        <w:t>drugs.</w:t>
      </w:r>
    </w:p>
    <w:p w:rsidR="00636CD6" w:rsidRDefault="003679E5" w:rsidP="001970F5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2"/>
          <w:lang w:val="en-GB"/>
        </w:rPr>
      </w:pPr>
      <w:r w:rsidRPr="001970F5">
        <w:rPr>
          <w:rFonts w:ascii="Times New Roman" w:hAnsi="Times New Roman" w:cs="Times New Roman"/>
          <w:b/>
          <w:sz w:val="24"/>
          <w:szCs w:val="22"/>
          <w:lang w:val="en-GB"/>
        </w:rPr>
        <w:t>Intervention</w:t>
      </w:r>
      <w:r w:rsidR="00DD60A7" w:rsidRPr="001970F5">
        <w:rPr>
          <w:rFonts w:ascii="Times New Roman" w:hAnsi="Times New Roman" w:cs="Times New Roman"/>
          <w:b/>
          <w:sz w:val="24"/>
          <w:szCs w:val="22"/>
          <w:lang w:val="en-GB"/>
        </w:rPr>
        <w:t xml:space="preserve">: </w:t>
      </w:r>
      <w:r w:rsidR="006F23D9">
        <w:rPr>
          <w:rFonts w:ascii="Times New Roman" w:hAnsi="Times New Roman" w:cs="Times New Roman"/>
          <w:sz w:val="24"/>
          <w:szCs w:val="22"/>
          <w:lang w:val="en-GB"/>
        </w:rPr>
        <w:t>Himachal Pradesh</w:t>
      </w:r>
      <w:r w:rsidR="00E03D99">
        <w:rPr>
          <w:rFonts w:ascii="Times New Roman" w:hAnsi="Times New Roman" w:cs="Times New Roman"/>
          <w:sz w:val="24"/>
          <w:szCs w:val="22"/>
          <w:lang w:val="en-GB"/>
        </w:rPr>
        <w:t xml:space="preserve"> has a </w:t>
      </w:r>
      <w:r w:rsidR="00E171D4">
        <w:rPr>
          <w:rFonts w:ascii="Times New Roman" w:hAnsi="Times New Roman" w:cs="Times New Roman"/>
          <w:sz w:val="24"/>
          <w:szCs w:val="22"/>
          <w:lang w:val="en-GB"/>
        </w:rPr>
        <w:t xml:space="preserve">network of 5500 </w:t>
      </w:r>
      <w:r w:rsidR="00636CD6">
        <w:rPr>
          <w:rFonts w:ascii="Times New Roman" w:hAnsi="Times New Roman" w:cs="Times New Roman"/>
          <w:sz w:val="24"/>
          <w:szCs w:val="22"/>
          <w:lang w:val="en-GB"/>
        </w:rPr>
        <w:t>chemist in the urban and rural area</w:t>
      </w:r>
      <w:r w:rsidR="005E769C">
        <w:rPr>
          <w:rFonts w:ascii="Times New Roman" w:hAnsi="Times New Roman" w:cs="Times New Roman"/>
          <w:sz w:val="24"/>
          <w:szCs w:val="22"/>
          <w:lang w:val="en-GB"/>
        </w:rPr>
        <w:t xml:space="preserve">s selling drugs to patients. </w:t>
      </w:r>
      <w:r w:rsidR="00470192">
        <w:rPr>
          <w:rFonts w:ascii="Times New Roman" w:hAnsi="Times New Roman" w:cs="Times New Roman"/>
          <w:sz w:val="24"/>
          <w:szCs w:val="22"/>
          <w:lang w:val="en-GB"/>
        </w:rPr>
        <w:t>A meeting was held under the chairmanship of secretary health involving the drug controller</w:t>
      </w:r>
      <w:r w:rsidR="00AF7CDE">
        <w:rPr>
          <w:rFonts w:ascii="Times New Roman" w:hAnsi="Times New Roman" w:cs="Times New Roman"/>
          <w:sz w:val="24"/>
          <w:szCs w:val="22"/>
          <w:lang w:val="en-GB"/>
        </w:rPr>
        <w:t xml:space="preserve"> of Himachal Pradesh and </w:t>
      </w:r>
      <w:r w:rsidR="00470192">
        <w:rPr>
          <w:rFonts w:ascii="Times New Roman" w:hAnsi="Times New Roman" w:cs="Times New Roman"/>
          <w:sz w:val="24"/>
          <w:szCs w:val="22"/>
          <w:lang w:val="en-GB"/>
        </w:rPr>
        <w:t xml:space="preserve">drug inspectors of all districts for monitoring the sale </w:t>
      </w:r>
      <w:r w:rsidR="008361A7">
        <w:rPr>
          <w:rFonts w:ascii="Times New Roman" w:hAnsi="Times New Roman" w:cs="Times New Roman"/>
          <w:sz w:val="24"/>
          <w:szCs w:val="22"/>
          <w:lang w:val="en-GB"/>
        </w:rPr>
        <w:t>of anti TB drugs in the state. Govt.</w:t>
      </w:r>
      <w:r w:rsidR="00470192">
        <w:rPr>
          <w:rFonts w:ascii="Times New Roman" w:hAnsi="Times New Roman" w:cs="Times New Roman"/>
          <w:sz w:val="24"/>
          <w:szCs w:val="22"/>
          <w:lang w:val="en-GB"/>
        </w:rPr>
        <w:t xml:space="preserve"> notification has been issued to all stakeholder for monitorin</w:t>
      </w:r>
      <w:r w:rsidR="00AF7CDE">
        <w:rPr>
          <w:rFonts w:ascii="Times New Roman" w:hAnsi="Times New Roman" w:cs="Times New Roman"/>
          <w:sz w:val="24"/>
          <w:szCs w:val="22"/>
          <w:lang w:val="en-GB"/>
        </w:rPr>
        <w:t>g of t</w:t>
      </w:r>
      <w:r w:rsidR="00FA49EB">
        <w:rPr>
          <w:rFonts w:ascii="Times New Roman" w:hAnsi="Times New Roman" w:cs="Times New Roman"/>
          <w:sz w:val="24"/>
          <w:szCs w:val="22"/>
          <w:lang w:val="en-GB"/>
        </w:rPr>
        <w:t xml:space="preserve">he sale of anti TB drugs.  Fifteen </w:t>
      </w:r>
      <w:r w:rsidR="00AF7CDE">
        <w:rPr>
          <w:rFonts w:ascii="Times New Roman" w:hAnsi="Times New Roman" w:cs="Times New Roman"/>
          <w:sz w:val="24"/>
          <w:szCs w:val="22"/>
          <w:lang w:val="en-GB"/>
        </w:rPr>
        <w:t>batches of chemists were trained for schedule H drugs data rep</w:t>
      </w:r>
      <w:r w:rsidR="005E769C">
        <w:rPr>
          <w:rFonts w:ascii="Times New Roman" w:hAnsi="Times New Roman" w:cs="Times New Roman"/>
          <w:sz w:val="24"/>
          <w:szCs w:val="22"/>
          <w:lang w:val="en-GB"/>
        </w:rPr>
        <w:t xml:space="preserve">orting. </w:t>
      </w:r>
      <w:r w:rsidR="00470192">
        <w:rPr>
          <w:rFonts w:ascii="Times New Roman" w:hAnsi="Times New Roman" w:cs="Times New Roman"/>
          <w:sz w:val="24"/>
          <w:szCs w:val="22"/>
          <w:lang w:val="en-GB"/>
        </w:rPr>
        <w:t xml:space="preserve">Monthly reporting formats </w:t>
      </w:r>
      <w:r w:rsidR="008361A7">
        <w:rPr>
          <w:rFonts w:ascii="Times New Roman" w:hAnsi="Times New Roman" w:cs="Times New Roman"/>
          <w:sz w:val="24"/>
          <w:szCs w:val="22"/>
          <w:lang w:val="en-GB"/>
        </w:rPr>
        <w:t>were</w:t>
      </w:r>
      <w:r w:rsidR="00470192">
        <w:rPr>
          <w:rFonts w:ascii="Times New Roman" w:hAnsi="Times New Roman" w:cs="Times New Roman"/>
          <w:sz w:val="24"/>
          <w:szCs w:val="22"/>
          <w:lang w:val="en-GB"/>
        </w:rPr>
        <w:t xml:space="preserve"> developed for regular reporting</w:t>
      </w:r>
      <w:r w:rsidR="00590231">
        <w:rPr>
          <w:rFonts w:ascii="Times New Roman" w:hAnsi="Times New Roman" w:cs="Times New Roman"/>
          <w:sz w:val="24"/>
          <w:szCs w:val="22"/>
          <w:lang w:val="en-GB"/>
        </w:rPr>
        <w:t xml:space="preserve"> which contain information name of patient</w:t>
      </w:r>
      <w:r w:rsidR="00E171D4">
        <w:rPr>
          <w:rFonts w:ascii="Times New Roman" w:hAnsi="Times New Roman" w:cs="Times New Roman"/>
          <w:sz w:val="24"/>
          <w:szCs w:val="22"/>
          <w:lang w:val="en-GB"/>
        </w:rPr>
        <w:t xml:space="preserve"> along with address</w:t>
      </w:r>
      <w:r w:rsidR="00590231">
        <w:rPr>
          <w:rFonts w:ascii="Times New Roman" w:hAnsi="Times New Roman" w:cs="Times New Roman"/>
          <w:sz w:val="24"/>
          <w:szCs w:val="22"/>
          <w:lang w:val="en-GB"/>
        </w:rPr>
        <w:t>, con</w:t>
      </w:r>
      <w:r w:rsidR="00E171D4">
        <w:rPr>
          <w:rFonts w:ascii="Times New Roman" w:hAnsi="Times New Roman" w:cs="Times New Roman"/>
          <w:sz w:val="24"/>
          <w:szCs w:val="22"/>
          <w:lang w:val="en-GB"/>
        </w:rPr>
        <w:t xml:space="preserve">tact number, </w:t>
      </w:r>
      <w:r w:rsidR="00590231">
        <w:rPr>
          <w:rFonts w:ascii="Times New Roman" w:hAnsi="Times New Roman" w:cs="Times New Roman"/>
          <w:sz w:val="24"/>
          <w:szCs w:val="22"/>
          <w:lang w:val="en-GB"/>
        </w:rPr>
        <w:t xml:space="preserve">name of doctor who prescribed the drugs, </w:t>
      </w:r>
      <w:r w:rsidR="005027FD">
        <w:rPr>
          <w:rFonts w:ascii="Times New Roman" w:hAnsi="Times New Roman" w:cs="Times New Roman"/>
          <w:sz w:val="24"/>
          <w:szCs w:val="22"/>
          <w:lang w:val="en-GB"/>
        </w:rPr>
        <w:t xml:space="preserve">TB </w:t>
      </w:r>
      <w:r w:rsidR="005E769C">
        <w:rPr>
          <w:rFonts w:ascii="Times New Roman" w:hAnsi="Times New Roman" w:cs="Times New Roman"/>
          <w:sz w:val="24"/>
          <w:szCs w:val="22"/>
          <w:lang w:val="en-GB"/>
        </w:rPr>
        <w:t xml:space="preserve">notification if </w:t>
      </w:r>
      <w:r w:rsidR="00E171D4">
        <w:rPr>
          <w:rFonts w:ascii="Times New Roman" w:hAnsi="Times New Roman" w:cs="Times New Roman"/>
          <w:sz w:val="24"/>
          <w:szCs w:val="22"/>
          <w:lang w:val="en-GB"/>
        </w:rPr>
        <w:t>notified,</w:t>
      </w:r>
      <w:r w:rsidR="005E769C">
        <w:rPr>
          <w:rFonts w:ascii="Times New Roman" w:hAnsi="Times New Roman" w:cs="Times New Roman"/>
          <w:sz w:val="24"/>
          <w:szCs w:val="22"/>
          <w:lang w:val="en-GB"/>
        </w:rPr>
        <w:t xml:space="preserve"> </w:t>
      </w:r>
      <w:r w:rsidR="00590231">
        <w:rPr>
          <w:rFonts w:ascii="Times New Roman" w:hAnsi="Times New Roman" w:cs="Times New Roman"/>
          <w:sz w:val="24"/>
          <w:szCs w:val="22"/>
          <w:lang w:val="en-GB"/>
        </w:rPr>
        <w:t>name of chemist</w:t>
      </w:r>
      <w:r w:rsidR="005E769C">
        <w:rPr>
          <w:rFonts w:ascii="Times New Roman" w:hAnsi="Times New Roman" w:cs="Times New Roman"/>
          <w:sz w:val="24"/>
          <w:szCs w:val="22"/>
          <w:lang w:val="en-GB"/>
        </w:rPr>
        <w:t xml:space="preserve"> </w:t>
      </w:r>
      <w:r w:rsidR="00E171D4">
        <w:rPr>
          <w:rFonts w:ascii="Times New Roman" w:hAnsi="Times New Roman" w:cs="Times New Roman"/>
          <w:sz w:val="24"/>
          <w:szCs w:val="22"/>
          <w:lang w:val="en-GB"/>
        </w:rPr>
        <w:t>who has sold</w:t>
      </w:r>
      <w:r w:rsidR="005E769C">
        <w:rPr>
          <w:rFonts w:ascii="Times New Roman" w:hAnsi="Times New Roman" w:cs="Times New Roman"/>
          <w:sz w:val="24"/>
          <w:szCs w:val="22"/>
          <w:lang w:val="en-GB"/>
        </w:rPr>
        <w:t xml:space="preserve"> anti TB drugs.</w:t>
      </w:r>
    </w:p>
    <w:p w:rsidR="009E311D" w:rsidRDefault="00BA46BB" w:rsidP="001970F5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Cs/>
          <w:sz w:val="24"/>
          <w:szCs w:val="22"/>
          <w:lang w:val="en-GB"/>
        </w:rPr>
      </w:pPr>
      <w:r w:rsidRPr="001970F5">
        <w:rPr>
          <w:rFonts w:ascii="Times New Roman" w:hAnsi="Times New Roman" w:cs="Times New Roman"/>
          <w:b/>
          <w:bCs/>
          <w:sz w:val="24"/>
          <w:szCs w:val="22"/>
          <w:lang w:val="en-GB"/>
        </w:rPr>
        <w:t>Financial Impact</w:t>
      </w:r>
      <w:r w:rsidR="00146C45">
        <w:rPr>
          <w:rFonts w:ascii="Times New Roman" w:hAnsi="Times New Roman" w:cs="Times New Roman"/>
          <w:b/>
          <w:bCs/>
          <w:sz w:val="24"/>
          <w:szCs w:val="22"/>
          <w:lang w:val="en-GB"/>
        </w:rPr>
        <w:t xml:space="preserve">: </w:t>
      </w:r>
      <w:r w:rsidR="00FA49EB">
        <w:rPr>
          <w:rFonts w:ascii="Times New Roman" w:hAnsi="Times New Roman" w:cs="Times New Roman"/>
          <w:bCs/>
          <w:sz w:val="24"/>
          <w:szCs w:val="22"/>
          <w:lang w:val="en-GB"/>
        </w:rPr>
        <w:t xml:space="preserve"> Nil</w:t>
      </w:r>
    </w:p>
    <w:p w:rsidR="0005252A" w:rsidRDefault="00CD04A4" w:rsidP="001970F5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2"/>
          <w:lang w:val="en-GB"/>
        </w:rPr>
      </w:pPr>
      <w:r>
        <w:rPr>
          <w:rFonts w:ascii="Times New Roman" w:hAnsi="Times New Roman" w:cs="Times New Roman"/>
          <w:b/>
          <w:sz w:val="24"/>
          <w:szCs w:val="22"/>
          <w:lang w:val="en-GB"/>
        </w:rPr>
        <w:t>Im</w:t>
      </w:r>
      <w:r w:rsidR="0005252A">
        <w:rPr>
          <w:rFonts w:ascii="Times New Roman" w:hAnsi="Times New Roman" w:cs="Times New Roman"/>
          <w:b/>
          <w:sz w:val="24"/>
          <w:szCs w:val="22"/>
          <w:lang w:val="en-GB"/>
        </w:rPr>
        <w:t>p</w:t>
      </w:r>
      <w:r>
        <w:rPr>
          <w:rFonts w:ascii="Times New Roman" w:hAnsi="Times New Roman" w:cs="Times New Roman"/>
          <w:b/>
          <w:sz w:val="24"/>
          <w:szCs w:val="22"/>
          <w:lang w:val="en-GB"/>
        </w:rPr>
        <w:t>a</w:t>
      </w:r>
      <w:r w:rsidR="0005252A">
        <w:rPr>
          <w:rFonts w:ascii="Times New Roman" w:hAnsi="Times New Roman" w:cs="Times New Roman"/>
          <w:b/>
          <w:sz w:val="24"/>
          <w:szCs w:val="22"/>
          <w:lang w:val="en-GB"/>
        </w:rPr>
        <w:t>ct</w:t>
      </w:r>
      <w:r>
        <w:rPr>
          <w:rFonts w:ascii="Times New Roman" w:hAnsi="Times New Roman" w:cs="Times New Roman"/>
          <w:b/>
          <w:sz w:val="24"/>
          <w:szCs w:val="22"/>
          <w:lang w:val="en-GB"/>
        </w:rPr>
        <w:t xml:space="preserve"> </w:t>
      </w:r>
      <w:r w:rsidR="0005252A">
        <w:rPr>
          <w:rFonts w:ascii="Times New Roman" w:hAnsi="Times New Roman" w:cs="Times New Roman"/>
          <w:b/>
          <w:sz w:val="24"/>
          <w:szCs w:val="22"/>
          <w:lang w:val="en-GB"/>
        </w:rPr>
        <w:t xml:space="preserve">- </w:t>
      </w:r>
      <w:r w:rsidR="0005252A" w:rsidRPr="0005252A">
        <w:rPr>
          <w:rFonts w:ascii="Times New Roman" w:hAnsi="Times New Roman" w:cs="Times New Roman"/>
          <w:sz w:val="24"/>
          <w:szCs w:val="22"/>
          <w:lang w:val="en-GB"/>
        </w:rPr>
        <w:t>Selling</w:t>
      </w:r>
      <w:r w:rsidR="0005252A">
        <w:rPr>
          <w:rFonts w:ascii="Times New Roman" w:hAnsi="Times New Roman" w:cs="Times New Roman"/>
          <w:sz w:val="24"/>
          <w:szCs w:val="22"/>
          <w:lang w:val="en-GB"/>
        </w:rPr>
        <w:t xml:space="preserve"> of anti TB drugs over the counter has been reduced due continuous monitoring of sale of anti TB drugs</w:t>
      </w:r>
      <w:r w:rsidR="000F7371">
        <w:rPr>
          <w:rFonts w:ascii="Times New Roman" w:hAnsi="Times New Roman" w:cs="Times New Roman"/>
          <w:sz w:val="24"/>
          <w:szCs w:val="22"/>
          <w:lang w:val="en-GB"/>
        </w:rPr>
        <w:t xml:space="preserve"> and patient came into mainstream.</w:t>
      </w:r>
      <w:r>
        <w:rPr>
          <w:rFonts w:ascii="Times New Roman" w:hAnsi="Times New Roman" w:cs="Times New Roman"/>
          <w:sz w:val="24"/>
          <w:szCs w:val="22"/>
          <w:lang w:val="en-GB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2"/>
          <w:lang w:val="en-GB"/>
        </w:rPr>
        <w:t xml:space="preserve">The detail of </w:t>
      </w:r>
      <w:r w:rsidR="0005252A">
        <w:rPr>
          <w:rFonts w:ascii="Times New Roman" w:hAnsi="Times New Roman" w:cs="Times New Roman"/>
          <w:sz w:val="24"/>
          <w:szCs w:val="22"/>
          <w:lang w:val="en-GB"/>
        </w:rPr>
        <w:t>TB cases notified by implementation</w:t>
      </w:r>
      <w:r>
        <w:rPr>
          <w:rFonts w:ascii="Times New Roman" w:hAnsi="Times New Roman" w:cs="Times New Roman"/>
          <w:sz w:val="24"/>
          <w:szCs w:val="22"/>
          <w:lang w:val="en-GB"/>
        </w:rPr>
        <w:t xml:space="preserve"> of monitoring of drug sale of </w:t>
      </w:r>
      <w:r w:rsidR="0005252A">
        <w:rPr>
          <w:rFonts w:ascii="Times New Roman" w:hAnsi="Times New Roman" w:cs="Times New Roman"/>
          <w:sz w:val="24"/>
          <w:szCs w:val="22"/>
          <w:lang w:val="en-GB"/>
        </w:rPr>
        <w:t>anti TB drugs as below</w:t>
      </w:r>
      <w:r w:rsidR="005027FD">
        <w:rPr>
          <w:rFonts w:ascii="Times New Roman" w:hAnsi="Times New Roman" w:cs="Times New Roman"/>
          <w:sz w:val="24"/>
          <w:szCs w:val="22"/>
          <w:lang w:val="en-GB"/>
        </w:rPr>
        <w:t xml:space="preserve"> </w:t>
      </w:r>
      <w:r w:rsidR="0005252A">
        <w:rPr>
          <w:rFonts w:ascii="Times New Roman" w:hAnsi="Times New Roman" w:cs="Times New Roman"/>
          <w:sz w:val="24"/>
          <w:szCs w:val="22"/>
          <w:lang w:val="en-GB"/>
        </w:rPr>
        <w:t>–</w:t>
      </w:r>
    </w:p>
    <w:p w:rsidR="0005252A" w:rsidRDefault="0005252A" w:rsidP="001970F5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2"/>
          <w:lang w:val="en-GB"/>
        </w:rPr>
      </w:pPr>
      <w:r>
        <w:rPr>
          <w:rFonts w:ascii="Times New Roman" w:hAnsi="Times New Roman" w:cs="Times New Roman"/>
          <w:sz w:val="24"/>
          <w:szCs w:val="22"/>
          <w:lang w:val="en-GB"/>
        </w:rPr>
        <w:t xml:space="preserve">                                    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337"/>
        <w:gridCol w:w="3754"/>
        <w:gridCol w:w="3260"/>
      </w:tblGrid>
      <w:tr w:rsidR="00CD04A4" w:rsidTr="00CD04A4">
        <w:tc>
          <w:tcPr>
            <w:tcW w:w="2337" w:type="dxa"/>
          </w:tcPr>
          <w:p w:rsidR="00CD04A4" w:rsidRDefault="00CD04A4" w:rsidP="001970F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val="en-GB"/>
              </w:rPr>
              <w:t xml:space="preserve">Year </w:t>
            </w:r>
          </w:p>
        </w:tc>
        <w:tc>
          <w:tcPr>
            <w:tcW w:w="3754" w:type="dxa"/>
          </w:tcPr>
          <w:p w:rsidR="00CD04A4" w:rsidRDefault="00CD04A4" w:rsidP="001970F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val="en-GB"/>
              </w:rPr>
              <w:t xml:space="preserve">No of chemist selling  Anti TB drugs </w:t>
            </w:r>
          </w:p>
        </w:tc>
        <w:tc>
          <w:tcPr>
            <w:tcW w:w="3260" w:type="dxa"/>
          </w:tcPr>
          <w:p w:rsidR="00CD04A4" w:rsidRDefault="00CD04A4" w:rsidP="001970F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val="en-GB"/>
              </w:rPr>
              <w:t xml:space="preserve"> No of TB Cases notified</w:t>
            </w:r>
          </w:p>
        </w:tc>
      </w:tr>
      <w:tr w:rsidR="00CD04A4" w:rsidTr="00CD04A4">
        <w:tc>
          <w:tcPr>
            <w:tcW w:w="2337" w:type="dxa"/>
          </w:tcPr>
          <w:p w:rsidR="00CD04A4" w:rsidRDefault="00CD04A4" w:rsidP="001970F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val="en-GB"/>
              </w:rPr>
              <w:t>2019</w:t>
            </w:r>
          </w:p>
        </w:tc>
        <w:tc>
          <w:tcPr>
            <w:tcW w:w="3754" w:type="dxa"/>
          </w:tcPr>
          <w:p w:rsidR="00CD04A4" w:rsidRDefault="00CD04A4" w:rsidP="001970F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val="en-GB"/>
              </w:rPr>
              <w:t>148</w:t>
            </w:r>
          </w:p>
        </w:tc>
        <w:tc>
          <w:tcPr>
            <w:tcW w:w="3260" w:type="dxa"/>
          </w:tcPr>
          <w:p w:rsidR="00CD04A4" w:rsidRDefault="00CD04A4" w:rsidP="001970F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val="en-GB"/>
              </w:rPr>
              <w:t>70</w:t>
            </w:r>
          </w:p>
        </w:tc>
      </w:tr>
      <w:tr w:rsidR="00CD04A4" w:rsidTr="00CD04A4">
        <w:tc>
          <w:tcPr>
            <w:tcW w:w="2337" w:type="dxa"/>
          </w:tcPr>
          <w:p w:rsidR="00CD04A4" w:rsidRDefault="00CD04A4" w:rsidP="001970F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val="en-GB"/>
              </w:rPr>
              <w:t>2020</w:t>
            </w:r>
          </w:p>
        </w:tc>
        <w:tc>
          <w:tcPr>
            <w:tcW w:w="3754" w:type="dxa"/>
          </w:tcPr>
          <w:p w:rsidR="00CD04A4" w:rsidRDefault="00CD04A4" w:rsidP="001970F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val="en-GB"/>
              </w:rPr>
              <w:t>127</w:t>
            </w:r>
          </w:p>
        </w:tc>
        <w:tc>
          <w:tcPr>
            <w:tcW w:w="3260" w:type="dxa"/>
          </w:tcPr>
          <w:p w:rsidR="00CD04A4" w:rsidRDefault="000F7371" w:rsidP="001970F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val="en-GB"/>
              </w:rPr>
              <w:t>21</w:t>
            </w:r>
          </w:p>
        </w:tc>
      </w:tr>
      <w:tr w:rsidR="00CD04A4" w:rsidTr="00CD04A4">
        <w:tc>
          <w:tcPr>
            <w:tcW w:w="2337" w:type="dxa"/>
          </w:tcPr>
          <w:p w:rsidR="00CD04A4" w:rsidRDefault="00CD04A4" w:rsidP="001970F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val="en-GB"/>
              </w:rPr>
              <w:t>2021</w:t>
            </w:r>
          </w:p>
        </w:tc>
        <w:tc>
          <w:tcPr>
            <w:tcW w:w="3754" w:type="dxa"/>
          </w:tcPr>
          <w:p w:rsidR="00CD04A4" w:rsidRDefault="00CD04A4" w:rsidP="001970F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val="en-GB"/>
              </w:rPr>
              <w:t>98</w:t>
            </w:r>
          </w:p>
        </w:tc>
        <w:tc>
          <w:tcPr>
            <w:tcW w:w="3260" w:type="dxa"/>
          </w:tcPr>
          <w:p w:rsidR="00CD04A4" w:rsidRDefault="000F7371" w:rsidP="001970F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val="en-GB"/>
              </w:rPr>
              <w:t>16</w:t>
            </w:r>
          </w:p>
        </w:tc>
      </w:tr>
    </w:tbl>
    <w:p w:rsidR="0005252A" w:rsidRDefault="0005252A" w:rsidP="001970F5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2"/>
          <w:lang w:val="en-GB"/>
        </w:rPr>
      </w:pPr>
    </w:p>
    <w:p w:rsidR="001970F5" w:rsidRDefault="003679E5" w:rsidP="001970F5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2"/>
          <w:lang w:val="en-GB"/>
        </w:rPr>
      </w:pPr>
      <w:r w:rsidRPr="001970F5">
        <w:rPr>
          <w:rFonts w:ascii="Times New Roman" w:hAnsi="Times New Roman" w:cs="Times New Roman"/>
          <w:b/>
          <w:sz w:val="24"/>
          <w:szCs w:val="22"/>
          <w:lang w:val="en-GB"/>
        </w:rPr>
        <w:t>Conclusion:</w:t>
      </w:r>
      <w:r w:rsidR="00A55B7F" w:rsidRPr="001970F5">
        <w:rPr>
          <w:rFonts w:ascii="Times New Roman" w:hAnsi="Times New Roman" w:cs="Times New Roman"/>
          <w:sz w:val="24"/>
          <w:szCs w:val="22"/>
          <w:lang w:val="en-GB"/>
        </w:rPr>
        <w:t xml:space="preserve"> </w:t>
      </w:r>
      <w:r w:rsidR="00E03D99">
        <w:rPr>
          <w:rFonts w:ascii="Times New Roman" w:hAnsi="Times New Roman" w:cs="Times New Roman"/>
          <w:sz w:val="24"/>
          <w:szCs w:val="22"/>
          <w:lang w:val="en-GB"/>
        </w:rPr>
        <w:t xml:space="preserve"> By monitoring the </w:t>
      </w:r>
      <w:r w:rsidR="001C0C44">
        <w:rPr>
          <w:rFonts w:ascii="Times New Roman" w:hAnsi="Times New Roman" w:cs="Times New Roman"/>
          <w:sz w:val="24"/>
          <w:szCs w:val="22"/>
          <w:lang w:val="en-GB"/>
        </w:rPr>
        <w:t>sale of anti TB drugs</w:t>
      </w:r>
      <w:r w:rsidR="00D86DDC">
        <w:rPr>
          <w:rFonts w:ascii="Times New Roman" w:hAnsi="Times New Roman" w:cs="Times New Roman"/>
          <w:sz w:val="24"/>
          <w:szCs w:val="22"/>
          <w:lang w:val="en-GB"/>
        </w:rPr>
        <w:t xml:space="preserve"> under reporting</w:t>
      </w:r>
      <w:r w:rsidR="001C0C44">
        <w:rPr>
          <w:rFonts w:ascii="Times New Roman" w:hAnsi="Times New Roman" w:cs="Times New Roman"/>
          <w:sz w:val="24"/>
          <w:szCs w:val="22"/>
          <w:lang w:val="en-GB"/>
        </w:rPr>
        <w:t xml:space="preserve"> of tuberculosis</w:t>
      </w:r>
      <w:r w:rsidR="00D86DDC">
        <w:rPr>
          <w:rFonts w:ascii="Times New Roman" w:hAnsi="Times New Roman" w:cs="Times New Roman"/>
          <w:sz w:val="24"/>
          <w:szCs w:val="22"/>
          <w:lang w:val="en-GB"/>
        </w:rPr>
        <w:t xml:space="preserve"> cases can be improved. All patients  </w:t>
      </w:r>
      <w:r w:rsidR="001C0C44">
        <w:rPr>
          <w:rFonts w:ascii="Times New Roman" w:hAnsi="Times New Roman" w:cs="Times New Roman"/>
          <w:sz w:val="24"/>
          <w:szCs w:val="22"/>
          <w:lang w:val="en-GB"/>
        </w:rPr>
        <w:t xml:space="preserve"> </w:t>
      </w:r>
      <w:r w:rsidR="00D86DDC">
        <w:rPr>
          <w:rFonts w:ascii="Times New Roman" w:hAnsi="Times New Roman" w:cs="Times New Roman"/>
          <w:sz w:val="24"/>
          <w:szCs w:val="22"/>
          <w:lang w:val="en-GB"/>
        </w:rPr>
        <w:t xml:space="preserve">can be given the </w:t>
      </w:r>
      <w:proofErr w:type="spellStart"/>
      <w:r w:rsidR="00D86DDC">
        <w:rPr>
          <w:rFonts w:ascii="Times New Roman" w:hAnsi="Times New Roman" w:cs="Times New Roman"/>
          <w:sz w:val="24"/>
          <w:szCs w:val="22"/>
          <w:lang w:val="en-GB"/>
        </w:rPr>
        <w:t>N</w:t>
      </w:r>
      <w:r w:rsidR="00AF7CDE">
        <w:rPr>
          <w:rFonts w:ascii="Times New Roman" w:hAnsi="Times New Roman" w:cs="Times New Roman"/>
          <w:sz w:val="24"/>
          <w:szCs w:val="22"/>
          <w:lang w:val="en-GB"/>
        </w:rPr>
        <w:t>ikshay</w:t>
      </w:r>
      <w:proofErr w:type="spellEnd"/>
      <w:r w:rsidR="00AF7CDE">
        <w:rPr>
          <w:rFonts w:ascii="Times New Roman" w:hAnsi="Times New Roman" w:cs="Times New Roman"/>
          <w:sz w:val="24"/>
          <w:szCs w:val="22"/>
          <w:lang w:val="en-GB"/>
        </w:rPr>
        <w:t xml:space="preserve"> </w:t>
      </w:r>
      <w:proofErr w:type="spellStart"/>
      <w:r w:rsidR="00AF7CDE">
        <w:rPr>
          <w:rFonts w:ascii="Times New Roman" w:hAnsi="Times New Roman" w:cs="Times New Roman"/>
          <w:sz w:val="24"/>
          <w:szCs w:val="22"/>
          <w:lang w:val="en-GB"/>
        </w:rPr>
        <w:t>P</w:t>
      </w:r>
      <w:r w:rsidR="001C0C44">
        <w:rPr>
          <w:rFonts w:ascii="Times New Roman" w:hAnsi="Times New Roman" w:cs="Times New Roman"/>
          <w:sz w:val="24"/>
          <w:szCs w:val="22"/>
          <w:lang w:val="en-GB"/>
        </w:rPr>
        <w:t>oshan</w:t>
      </w:r>
      <w:proofErr w:type="spellEnd"/>
      <w:r w:rsidR="001C0C44">
        <w:rPr>
          <w:rFonts w:ascii="Times New Roman" w:hAnsi="Times New Roman" w:cs="Times New Roman"/>
          <w:sz w:val="24"/>
          <w:szCs w:val="22"/>
          <w:lang w:val="en-GB"/>
        </w:rPr>
        <w:t xml:space="preserve"> benefits</w:t>
      </w:r>
      <w:r w:rsidR="00D86DDC">
        <w:rPr>
          <w:rFonts w:ascii="Times New Roman" w:hAnsi="Times New Roman" w:cs="Times New Roman"/>
          <w:sz w:val="24"/>
          <w:szCs w:val="22"/>
          <w:lang w:val="en-GB"/>
        </w:rPr>
        <w:t>.</w:t>
      </w:r>
      <w:r w:rsidR="00AF7CDE">
        <w:rPr>
          <w:rFonts w:ascii="Times New Roman" w:hAnsi="Times New Roman" w:cs="Times New Roman"/>
          <w:sz w:val="24"/>
          <w:szCs w:val="22"/>
          <w:lang w:val="en-GB"/>
        </w:rPr>
        <w:t xml:space="preserve"> </w:t>
      </w:r>
      <w:r w:rsidR="001C0C44">
        <w:rPr>
          <w:rFonts w:ascii="Times New Roman" w:hAnsi="Times New Roman" w:cs="Times New Roman"/>
          <w:sz w:val="24"/>
          <w:szCs w:val="22"/>
          <w:lang w:val="en-GB"/>
        </w:rPr>
        <w:t>The public health action like contact tracing and TB preventive treatment</w:t>
      </w:r>
      <w:r w:rsidR="008361A7">
        <w:rPr>
          <w:rFonts w:ascii="Times New Roman" w:hAnsi="Times New Roman" w:cs="Times New Roman"/>
          <w:sz w:val="24"/>
          <w:szCs w:val="22"/>
          <w:lang w:val="en-GB"/>
        </w:rPr>
        <w:t xml:space="preserve"> </w:t>
      </w:r>
      <w:r w:rsidR="001C0C44">
        <w:rPr>
          <w:rFonts w:ascii="Times New Roman" w:hAnsi="Times New Roman" w:cs="Times New Roman"/>
          <w:sz w:val="24"/>
          <w:szCs w:val="22"/>
          <w:lang w:val="en-GB"/>
        </w:rPr>
        <w:t>can be initiated for prevention of tuberculosis</w:t>
      </w:r>
    </w:p>
    <w:p w:rsidR="001970F5" w:rsidRPr="00043AFC" w:rsidRDefault="001970F5" w:rsidP="001970F5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sz w:val="24"/>
          <w:szCs w:val="22"/>
          <w:lang w:val="en-GB"/>
        </w:rPr>
      </w:pPr>
      <w:r>
        <w:rPr>
          <w:rFonts w:ascii="Times New Roman" w:hAnsi="Times New Roman" w:cs="Times New Roman"/>
          <w:sz w:val="24"/>
          <w:szCs w:val="22"/>
          <w:lang w:val="en-GB"/>
        </w:rPr>
        <w:lastRenderedPageBreak/>
        <w:t>***</w:t>
      </w:r>
    </w:p>
    <w:sectPr w:rsidR="001970F5" w:rsidRPr="00043AFC" w:rsidSect="00BE4535">
      <w:pgSz w:w="12240" w:h="15840"/>
      <w:pgMar w:top="1566" w:right="1440" w:bottom="107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02949"/>
    <w:multiLevelType w:val="hybridMultilevel"/>
    <w:tmpl w:val="9738E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A7784"/>
    <w:multiLevelType w:val="hybridMultilevel"/>
    <w:tmpl w:val="A510C7F0"/>
    <w:lvl w:ilvl="0" w:tplc="7E4CD04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9C165A"/>
    <w:multiLevelType w:val="hybridMultilevel"/>
    <w:tmpl w:val="49687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E53A1E"/>
    <w:multiLevelType w:val="multilevel"/>
    <w:tmpl w:val="70609E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BC6"/>
    <w:rsid w:val="00043AFC"/>
    <w:rsid w:val="0005252A"/>
    <w:rsid w:val="00097615"/>
    <w:rsid w:val="000E105C"/>
    <w:rsid w:val="000F7371"/>
    <w:rsid w:val="00146C45"/>
    <w:rsid w:val="001970F5"/>
    <w:rsid w:val="001C0C44"/>
    <w:rsid w:val="001C51DA"/>
    <w:rsid w:val="001D227E"/>
    <w:rsid w:val="001F285E"/>
    <w:rsid w:val="00205C24"/>
    <w:rsid w:val="00224336"/>
    <w:rsid w:val="002C4BC3"/>
    <w:rsid w:val="002D11BF"/>
    <w:rsid w:val="002E50F7"/>
    <w:rsid w:val="00334A40"/>
    <w:rsid w:val="003679E5"/>
    <w:rsid w:val="00392349"/>
    <w:rsid w:val="00435F24"/>
    <w:rsid w:val="00470192"/>
    <w:rsid w:val="00476947"/>
    <w:rsid w:val="004A7C6F"/>
    <w:rsid w:val="005027FD"/>
    <w:rsid w:val="00516C92"/>
    <w:rsid w:val="00590231"/>
    <w:rsid w:val="005C512E"/>
    <w:rsid w:val="005D6FD3"/>
    <w:rsid w:val="005E769C"/>
    <w:rsid w:val="00636CD6"/>
    <w:rsid w:val="00660E75"/>
    <w:rsid w:val="006706F9"/>
    <w:rsid w:val="00687435"/>
    <w:rsid w:val="0069181C"/>
    <w:rsid w:val="006D27C0"/>
    <w:rsid w:val="006F23D9"/>
    <w:rsid w:val="00774931"/>
    <w:rsid w:val="008040B5"/>
    <w:rsid w:val="00805CD2"/>
    <w:rsid w:val="008361A7"/>
    <w:rsid w:val="008710D7"/>
    <w:rsid w:val="00890E5F"/>
    <w:rsid w:val="008A2D7F"/>
    <w:rsid w:val="008B7AC9"/>
    <w:rsid w:val="008D2C6C"/>
    <w:rsid w:val="0091638B"/>
    <w:rsid w:val="0094190C"/>
    <w:rsid w:val="00945FE6"/>
    <w:rsid w:val="009639F0"/>
    <w:rsid w:val="009C0670"/>
    <w:rsid w:val="009E311D"/>
    <w:rsid w:val="009E5F0B"/>
    <w:rsid w:val="009F292A"/>
    <w:rsid w:val="00A10BEE"/>
    <w:rsid w:val="00A235DB"/>
    <w:rsid w:val="00A3183E"/>
    <w:rsid w:val="00A55B7F"/>
    <w:rsid w:val="00A67CFF"/>
    <w:rsid w:val="00A81266"/>
    <w:rsid w:val="00AB6E4D"/>
    <w:rsid w:val="00AD4577"/>
    <w:rsid w:val="00AF7CDE"/>
    <w:rsid w:val="00B62A27"/>
    <w:rsid w:val="00BA46BB"/>
    <w:rsid w:val="00BB5BC6"/>
    <w:rsid w:val="00BE4535"/>
    <w:rsid w:val="00BE6412"/>
    <w:rsid w:val="00C6494B"/>
    <w:rsid w:val="00CA1A80"/>
    <w:rsid w:val="00CD04A4"/>
    <w:rsid w:val="00D44F61"/>
    <w:rsid w:val="00D80443"/>
    <w:rsid w:val="00D86DDC"/>
    <w:rsid w:val="00DA7F38"/>
    <w:rsid w:val="00DD60A7"/>
    <w:rsid w:val="00E03D99"/>
    <w:rsid w:val="00E171D4"/>
    <w:rsid w:val="00ED0DDE"/>
    <w:rsid w:val="00ED532B"/>
    <w:rsid w:val="00EE5445"/>
    <w:rsid w:val="00F71E98"/>
    <w:rsid w:val="00FA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FC2924-9315-4B3A-8A0E-B94B863FC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B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638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1638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C4BC3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525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919815880748</cp:lastModifiedBy>
  <cp:revision>19</cp:revision>
  <dcterms:created xsi:type="dcterms:W3CDTF">2020-09-27T04:00:00Z</dcterms:created>
  <dcterms:modified xsi:type="dcterms:W3CDTF">2021-11-22T10:32:00Z</dcterms:modified>
</cp:coreProperties>
</file>